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rPr>
        <w:t xml:space="preserve"> “</w:t>
      </w:r>
      <w:r>
        <w:rPr>
          <w:rFonts w:cs="Times New Roman" w:ascii="Times New Roman" w:hAnsi="Times New Roman"/>
        </w:rPr>
        <w:t>Becoming Colonial” O’Toole Lecture 2</w:t>
      </w:r>
      <w:r>
        <w:rPr>
          <w:rFonts w:cs="Times New Roman" w:ascii="Times New Roman" w:hAnsi="Times New Roman"/>
        </w:rPr>
        <w:t>a</w:t>
      </w:r>
    </w:p>
    <w:p>
      <w:pPr>
        <w:pStyle w:val="Normal"/>
        <w:jc w:val="center"/>
        <w:rPr>
          <w:rFonts w:ascii="Times New Roman" w:hAnsi="Times New Roman" w:cs="Times New Roman"/>
        </w:rPr>
      </w:pPr>
      <w:r>
        <w:rPr>
          <w:rFonts w:cs="Times New Roman" w:ascii="Times New Roman" w:hAnsi="Times New Roman"/>
        </w:rPr>
      </w:r>
    </w:p>
    <w:p>
      <w:pPr>
        <w:pStyle w:val="Normal"/>
        <w:rPr>
          <w:rFonts w:ascii="Times New Roman" w:hAnsi="Times New Roman" w:eastAsia="Times New Roman" w:cs="Times New Roman"/>
          <w:b/>
          <w:b/>
          <w:color w:val="333333"/>
          <w:highlight w:val="white"/>
        </w:rPr>
      </w:pPr>
      <w:r>
        <w:rPr>
          <w:rFonts w:cs="Times New Roman" w:ascii="Times New Roman" w:hAnsi="Times New Roman"/>
          <w:i/>
        </w:rPr>
        <w:t xml:space="preserve">Study Questions - </w:t>
      </w:r>
      <w:r>
        <w:rPr>
          <w:rFonts w:eastAsia="Times New Roman" w:cs="Times New Roman" w:ascii="Times New Roman" w:hAnsi="Times New Roman"/>
          <w:color w:val="333333"/>
          <w:shd w:fill="FFFFFF" w:val="clear"/>
        </w:rPr>
        <w:t>“We Are the Other” </w:t>
      </w:r>
      <w:r>
        <w:rPr>
          <w:rFonts w:eastAsia="Times New Roman" w:cs="Times New Roman" w:ascii="Times New Roman" w:hAnsi="Times New Roman"/>
          <w:b/>
          <w:color w:val="333333"/>
          <w:shd w:fill="FFFFFF" w:val="clear"/>
        </w:rPr>
        <w:t>Tom Cummins</w:t>
      </w:r>
    </w:p>
    <w:p>
      <w:pPr>
        <w:pStyle w:val="Normal"/>
        <w:rPr>
          <w:rFonts w:ascii="Times New Roman" w:hAnsi="Times New Roman" w:eastAsia="Times New Roman" w:cs="Times New Roman"/>
          <w:sz w:val="20"/>
          <w:szCs w:val="20"/>
          <w:u w:val="single"/>
        </w:rPr>
      </w:pPr>
      <w:r>
        <w:rPr>
          <w:rFonts w:eastAsia="Times New Roman" w:cs="Times New Roman" w:ascii="Times New Roman" w:hAnsi="Times New Roman"/>
          <w:sz w:val="20"/>
          <w:szCs w:val="20"/>
          <w:u w:val="single"/>
        </w:rPr>
      </w:r>
    </w:p>
    <w:p>
      <w:pPr>
        <w:pStyle w:val="ListParagraph"/>
        <w:numPr>
          <w:ilvl w:val="0"/>
          <w:numId w:val="1"/>
        </w:numPr>
        <w:rPr>
          <w:rFonts w:ascii="Times New Roman" w:hAnsi="Times New Roman" w:cs="Times New Roman"/>
        </w:rPr>
      </w:pPr>
      <w:r>
        <w:rPr>
          <w:rFonts w:cs="Times New Roman" w:ascii="Times New Roman" w:hAnsi="Times New Roman"/>
        </w:rPr>
        <w:t>What did Franz Fanon mean when he explained that “knowing” meant objectification? How is “knowing” about not really knowing?</w:t>
      </w:r>
    </w:p>
    <w:p>
      <w:pPr>
        <w:pStyle w:val="ListParagraph"/>
        <w:numPr>
          <w:ilvl w:val="0"/>
          <w:numId w:val="1"/>
        </w:numPr>
        <w:rPr>
          <w:rFonts w:ascii="Times New Roman" w:hAnsi="Times New Roman" w:cs="Times New Roman"/>
        </w:rPr>
      </w:pPr>
      <w:r>
        <w:rPr>
          <w:rFonts w:cs="Times New Roman" w:ascii="Times New Roman" w:hAnsi="Times New Roman"/>
        </w:rPr>
        <w:t xml:space="preserve">What are representations? </w:t>
      </w:r>
    </w:p>
    <w:p>
      <w:pPr>
        <w:pStyle w:val="ListParagraph"/>
        <w:numPr>
          <w:ilvl w:val="0"/>
          <w:numId w:val="1"/>
        </w:numPr>
        <w:rPr>
          <w:rFonts w:ascii="Times New Roman" w:hAnsi="Times New Roman" w:cs="Times New Roman"/>
        </w:rPr>
      </w:pPr>
      <w:r>
        <w:rPr>
          <w:rFonts w:cs="Times New Roman" w:ascii="Times New Roman" w:hAnsi="Times New Roman"/>
        </w:rPr>
        <w:t>What is the colonial problematic of familiar forms and distinct people? What makes colonial paintings distinct?</w:t>
      </w:r>
    </w:p>
    <w:p>
      <w:pPr>
        <w:pStyle w:val="ListParagraph"/>
        <w:numPr>
          <w:ilvl w:val="0"/>
          <w:numId w:val="1"/>
        </w:numPr>
        <w:rPr>
          <w:rFonts w:ascii="Times New Roman" w:hAnsi="Times New Roman" w:cs="Times New Roman"/>
        </w:rPr>
      </w:pPr>
      <w:r>
        <w:rPr>
          <w:rFonts w:cs="Times New Roman" w:ascii="Times New Roman" w:hAnsi="Times New Roman"/>
        </w:rPr>
        <w:t xml:space="preserve">Who created </w:t>
      </w:r>
      <w:r>
        <w:rPr>
          <w:rFonts w:cs="Times New Roman" w:ascii="Times New Roman" w:hAnsi="Times New Roman"/>
          <w:b/>
        </w:rPr>
        <w:t>colonial portraits</w:t>
      </w:r>
      <w:r>
        <w:rPr>
          <w:rFonts w:cs="Times New Roman" w:ascii="Times New Roman" w:hAnsi="Times New Roman"/>
        </w:rPr>
        <w:t xml:space="preserve"> of native elite and Inca kings in Spanish colonial society? Who saw these portraits (p. 203)? What were the purposes of these portraits? </w:t>
      </w:r>
    </w:p>
    <w:p>
      <w:pPr>
        <w:pStyle w:val="ListParagraph"/>
        <w:numPr>
          <w:ilvl w:val="0"/>
          <w:numId w:val="1"/>
        </w:numPr>
        <w:rPr>
          <w:rFonts w:ascii="Times New Roman" w:hAnsi="Times New Roman" w:cs="Times New Roman"/>
        </w:rPr>
      </w:pPr>
      <w:r>
        <w:rPr>
          <w:rFonts w:cs="Times New Roman" w:ascii="Times New Roman" w:hAnsi="Times New Roman"/>
        </w:rPr>
        <w:t>According to art historian Tom Cummins, how were the portrait paintings part of the “</w:t>
      </w:r>
      <w:r>
        <w:rPr>
          <w:rFonts w:cs="Times New Roman" w:ascii="Times New Roman" w:hAnsi="Times New Roman"/>
          <w:b/>
        </w:rPr>
        <w:t>acculturation</w:t>
      </w:r>
      <w:r>
        <w:rPr>
          <w:rFonts w:cs="Times New Roman" w:ascii="Times New Roman" w:hAnsi="Times New Roman"/>
        </w:rPr>
        <w:t xml:space="preserve"> process” (p. 208) of Andean nobles, Inca descendants, and Andean commoners? Did the portrait painting teach and indoctrinate indigenous Andeans “passive acquiescence” to “Spanish rule and relentless economic exploitation” (p. 208)?</w:t>
      </w:r>
    </w:p>
    <w:p>
      <w:pPr>
        <w:pStyle w:val="ListParagraph"/>
        <w:numPr>
          <w:ilvl w:val="0"/>
          <w:numId w:val="1"/>
        </w:numPr>
        <w:rPr>
          <w:rFonts w:ascii="Times New Roman" w:hAnsi="Times New Roman" w:cs="Times New Roman"/>
        </w:rPr>
      </w:pPr>
      <w:r>
        <w:rPr>
          <w:rFonts w:cs="Times New Roman" w:ascii="Times New Roman" w:hAnsi="Times New Roman"/>
        </w:rPr>
        <w:t xml:space="preserve">How did the </w:t>
      </w:r>
      <w:r>
        <w:rPr>
          <w:rFonts w:cs="Times New Roman" w:ascii="Times New Roman" w:hAnsi="Times New Roman"/>
          <w:b/>
          <w:i/>
        </w:rPr>
        <w:t>kurakakuna</w:t>
      </w:r>
      <w:r>
        <w:rPr>
          <w:rFonts w:cs="Times New Roman" w:ascii="Times New Roman" w:hAnsi="Times New Roman"/>
          <w:i/>
        </w:rPr>
        <w:t xml:space="preserve"> </w:t>
      </w:r>
      <w:r>
        <w:rPr>
          <w:rFonts w:cs="Times New Roman" w:ascii="Times New Roman" w:hAnsi="Times New Roman"/>
        </w:rPr>
        <w:t xml:space="preserve">assist in Spanish colonization of Peru, of the Inca empire, and of the Andes? What was the position of </w:t>
      </w:r>
      <w:r>
        <w:rPr>
          <w:rFonts w:cs="Times New Roman" w:ascii="Times New Roman" w:hAnsi="Times New Roman"/>
          <w:i/>
        </w:rPr>
        <w:t>kurakakuna</w:t>
      </w:r>
      <w:r>
        <w:rPr>
          <w:rFonts w:cs="Times New Roman" w:ascii="Times New Roman" w:hAnsi="Times New Roman"/>
        </w:rPr>
        <w:t xml:space="preserve"> in Spanish colonial society (p. 209), and what were their privileges? </w:t>
      </w:r>
    </w:p>
    <w:p>
      <w:pPr>
        <w:pStyle w:val="ListParagraph"/>
        <w:numPr>
          <w:ilvl w:val="0"/>
          <w:numId w:val="1"/>
        </w:numPr>
        <w:rPr>
          <w:rFonts w:ascii="Times New Roman" w:hAnsi="Times New Roman" w:cs="Times New Roman"/>
        </w:rPr>
      </w:pPr>
      <w:r>
        <w:rPr>
          <w:rFonts w:cs="Times New Roman" w:ascii="Times New Roman" w:hAnsi="Times New Roman"/>
        </w:rPr>
        <w:t xml:space="preserve">How is Cummins arguing that the </w:t>
      </w:r>
      <w:r>
        <w:rPr>
          <w:rFonts w:cs="Times New Roman" w:ascii="Times New Roman" w:hAnsi="Times New Roman"/>
          <w:i/>
        </w:rPr>
        <w:t xml:space="preserve">kurakakuna </w:t>
      </w:r>
      <w:r>
        <w:rPr>
          <w:rFonts w:cs="Times New Roman" w:ascii="Times New Roman" w:hAnsi="Times New Roman"/>
        </w:rPr>
        <w:t xml:space="preserve">were active while native (commoner) Peruvians (or </w:t>
      </w:r>
      <w:r>
        <w:rPr>
          <w:rFonts w:cs="Times New Roman" w:ascii="Times New Roman" w:hAnsi="Times New Roman"/>
          <w:i/>
        </w:rPr>
        <w:t>indios tributaries</w:t>
      </w:r>
      <w:r>
        <w:rPr>
          <w:rFonts w:cs="Times New Roman" w:ascii="Times New Roman" w:hAnsi="Times New Roman"/>
        </w:rPr>
        <w:t xml:space="preserve">, “tributary Indians”) were passive participants in, or observers of, Spanish colonialism? How does he employ </w:t>
      </w:r>
      <w:r>
        <w:rPr>
          <w:rFonts w:cs="Times New Roman" w:ascii="Times New Roman" w:hAnsi="Times New Roman"/>
          <w:b/>
        </w:rPr>
        <w:t>evidence</w:t>
      </w:r>
      <w:r>
        <w:rPr>
          <w:rFonts w:cs="Times New Roman" w:ascii="Times New Roman" w:hAnsi="Times New Roman"/>
        </w:rPr>
        <w:t xml:space="preserve"> from the Corpus Christi painting (circa 1675) to support his </w:t>
      </w:r>
      <w:r>
        <w:rPr>
          <w:rFonts w:cs="Times New Roman" w:ascii="Times New Roman" w:hAnsi="Times New Roman"/>
          <w:b/>
        </w:rPr>
        <w:t>historical interpretation</w:t>
      </w:r>
      <w:r>
        <w:rPr>
          <w:rFonts w:cs="Times New Roman" w:ascii="Times New Roman" w:hAnsi="Times New Roman"/>
        </w:rPr>
        <w:t>?</w:t>
      </w:r>
    </w:p>
    <w:p>
      <w:pPr>
        <w:pStyle w:val="ListParagraph"/>
        <w:numPr>
          <w:ilvl w:val="0"/>
          <w:numId w:val="1"/>
        </w:numPr>
        <w:rPr>
          <w:rFonts w:ascii="Times New Roman" w:hAnsi="Times New Roman" w:cs="Times New Roman"/>
        </w:rPr>
      </w:pPr>
      <w:r>
        <w:rPr>
          <w:rFonts w:cs="Times New Roman" w:ascii="Times New Roman" w:hAnsi="Times New Roman"/>
        </w:rPr>
        <w:t xml:space="preserve">How do the portraits indicate the Spanish </w:t>
      </w:r>
      <w:r>
        <w:rPr>
          <w:rFonts w:cs="Times New Roman" w:ascii="Times New Roman" w:hAnsi="Times New Roman"/>
          <w:b/>
        </w:rPr>
        <w:t>transformation</w:t>
      </w:r>
      <w:r>
        <w:rPr>
          <w:rFonts w:cs="Times New Roman" w:ascii="Times New Roman" w:hAnsi="Times New Roman"/>
        </w:rPr>
        <w:t xml:space="preserve"> of Andean </w:t>
      </w:r>
      <w:r>
        <w:rPr>
          <w:rFonts w:cs="Times New Roman" w:ascii="Times New Roman" w:hAnsi="Times New Roman"/>
          <w:i/>
        </w:rPr>
        <w:t>kurakakuna</w:t>
      </w:r>
      <w:r>
        <w:rPr>
          <w:rFonts w:cs="Times New Roman" w:ascii="Times New Roman" w:hAnsi="Times New Roman"/>
        </w:rPr>
        <w:t xml:space="preserve"> into “a reasonable semblance of the colonists themselves” (p. 211)? What </w:t>
      </w:r>
      <w:r>
        <w:rPr>
          <w:rFonts w:cs="Times New Roman" w:ascii="Times New Roman" w:hAnsi="Times New Roman"/>
          <w:b/>
        </w:rPr>
        <w:t xml:space="preserve">evidence </w:t>
      </w:r>
      <w:r>
        <w:rPr>
          <w:rFonts w:cs="Times New Roman" w:ascii="Times New Roman" w:hAnsi="Times New Roman"/>
        </w:rPr>
        <w:t xml:space="preserve">does Cummins employ from the portrait of don Marcos Chiguan/don Marcos Chiquathopa to support his </w:t>
      </w:r>
      <w:r>
        <w:rPr>
          <w:rFonts w:cs="Times New Roman" w:ascii="Times New Roman" w:hAnsi="Times New Roman"/>
          <w:b/>
        </w:rPr>
        <w:t>historical interpretation</w:t>
      </w:r>
      <w:r>
        <w:rPr>
          <w:rFonts w:cs="Times New Roman" w:ascii="Times New Roman" w:hAnsi="Times New Roman"/>
        </w:rPr>
        <w:t xml:space="preserve"> that the representation of don Marcos is one of “a transformed and coopted elite” (p. 211)?</w:t>
      </w:r>
    </w:p>
    <w:p>
      <w:pPr>
        <w:pStyle w:val="ListParagraph"/>
        <w:numPr>
          <w:ilvl w:val="0"/>
          <w:numId w:val="1"/>
        </w:numPr>
        <w:rPr>
          <w:rFonts w:ascii="Times New Roman" w:hAnsi="Times New Roman" w:cs="Times New Roman"/>
        </w:rPr>
      </w:pPr>
      <w:r>
        <w:rPr>
          <w:rFonts w:cs="Times New Roman" w:ascii="Times New Roman" w:hAnsi="Times New Roman"/>
        </w:rPr>
        <w:t xml:space="preserve">How does the portrait form itself codify the status of the colonial </w:t>
      </w:r>
      <w:r>
        <w:rPr>
          <w:rFonts w:cs="Times New Roman" w:ascii="Times New Roman" w:hAnsi="Times New Roman"/>
          <w:i/>
        </w:rPr>
        <w:t>kurakakuna</w:t>
      </w:r>
      <w:r>
        <w:rPr>
          <w:rFonts w:cs="Times New Roman" w:ascii="Times New Roman" w:hAnsi="Times New Roman"/>
        </w:rPr>
        <w:t xml:space="preserve"> (p. 211)? How does the representation prove the </w:t>
      </w:r>
      <w:r>
        <w:rPr>
          <w:rFonts w:cs="Times New Roman" w:ascii="Times New Roman" w:hAnsi="Times New Roman"/>
          <w:i/>
        </w:rPr>
        <w:t>kurakakuna</w:t>
      </w:r>
      <w:r>
        <w:rPr>
          <w:rFonts w:cs="Times New Roman" w:ascii="Times New Roman" w:hAnsi="Times New Roman"/>
        </w:rPr>
        <w:t xml:space="preserve">’s right to be colonial leaders of indigenous Andean commoners (p. 212)? </w:t>
      </w:r>
    </w:p>
    <w:p>
      <w:pPr>
        <w:pStyle w:val="ListParagraph"/>
        <w:numPr>
          <w:ilvl w:val="0"/>
          <w:numId w:val="1"/>
        </w:numPr>
        <w:rPr>
          <w:rFonts w:ascii="Times New Roman" w:hAnsi="Times New Roman" w:cs="Times New Roman"/>
        </w:rPr>
      </w:pPr>
      <w:r>
        <w:rPr>
          <w:rFonts w:cs="Times New Roman" w:ascii="Times New Roman" w:hAnsi="Times New Roman"/>
        </w:rPr>
        <w:t xml:space="preserve">Cummins asserts that the claim of the colonized is an </w:t>
      </w:r>
      <w:r>
        <w:rPr>
          <w:rFonts w:cs="Times New Roman" w:ascii="Times New Roman" w:hAnsi="Times New Roman"/>
          <w:b/>
        </w:rPr>
        <w:t>epistemological shift</w:t>
      </w:r>
      <w:r>
        <w:rPr>
          <w:rFonts w:cs="Times New Roman" w:ascii="Times New Roman" w:hAnsi="Times New Roman"/>
        </w:rPr>
        <w:t xml:space="preserve"> (p. 212) by exploring independent messages of image and text (p. 217). How did the colonial Inca and the colonial </w:t>
      </w:r>
      <w:r>
        <w:rPr>
          <w:rFonts w:cs="Times New Roman" w:ascii="Times New Roman" w:hAnsi="Times New Roman"/>
          <w:i/>
        </w:rPr>
        <w:t>kurakakuna</w:t>
      </w:r>
      <w:r>
        <w:rPr>
          <w:rFonts w:cs="Times New Roman" w:ascii="Times New Roman" w:hAnsi="Times New Roman"/>
        </w:rPr>
        <w:t xml:space="preserve"> employ images and texts to prove their legal claims in colonial courts? Which parts of their representations were fictions (p. 218)?</w:t>
      </w:r>
    </w:p>
    <w:p>
      <w:pPr>
        <w:pStyle w:val="ListParagraph"/>
        <w:numPr>
          <w:ilvl w:val="0"/>
          <w:numId w:val="1"/>
        </w:numPr>
        <w:rPr>
          <w:rFonts w:ascii="Times New Roman" w:hAnsi="Times New Roman" w:cs="Times New Roman"/>
        </w:rPr>
      </w:pPr>
      <w:r>
        <w:rPr>
          <w:rFonts w:cs="Times New Roman" w:ascii="Times New Roman" w:hAnsi="Times New Roman"/>
        </w:rPr>
        <w:t xml:space="preserve">How did the colonial </w:t>
      </w:r>
      <w:r>
        <w:rPr>
          <w:rFonts w:cs="Times New Roman" w:ascii="Times New Roman" w:hAnsi="Times New Roman"/>
          <w:i/>
        </w:rPr>
        <w:t xml:space="preserve">kurakakuna </w:t>
      </w:r>
      <w:r>
        <w:rPr>
          <w:rFonts w:cs="Times New Roman" w:ascii="Times New Roman" w:hAnsi="Times New Roman"/>
        </w:rPr>
        <w:t xml:space="preserve">transform the Inca tassel or </w:t>
      </w:r>
      <w:r>
        <w:rPr>
          <w:rFonts w:cs="Times New Roman" w:ascii="Times New Roman" w:hAnsi="Times New Roman"/>
          <w:i/>
        </w:rPr>
        <w:t xml:space="preserve">maskja paycha </w:t>
      </w:r>
      <w:r>
        <w:rPr>
          <w:rFonts w:cs="Times New Roman" w:ascii="Times New Roman" w:hAnsi="Times New Roman"/>
        </w:rPr>
        <w:t>(mascapaycha) and the rainbow, among other Inca signs (pp. 219, 220)? Who were the audiences for these representations (p. 222)?</w:t>
      </w:r>
    </w:p>
    <w:p>
      <w:pPr>
        <w:pStyle w:val="ListParagraph"/>
        <w:numPr>
          <w:ilvl w:val="0"/>
          <w:numId w:val="1"/>
        </w:numPr>
        <w:rPr>
          <w:rFonts w:ascii="Times New Roman" w:hAnsi="Times New Roman" w:cs="Times New Roman"/>
        </w:rPr>
      </w:pPr>
      <w:r>
        <w:rPr>
          <w:rFonts w:cs="Times New Roman" w:ascii="Times New Roman" w:hAnsi="Times New Roman"/>
        </w:rPr>
        <w:t xml:space="preserve">Cummins argues that, in addition, the colonial Inca representations “legitimatized the authority of the </w:t>
      </w:r>
      <w:r>
        <w:rPr>
          <w:rFonts w:cs="Times New Roman" w:ascii="Times New Roman" w:hAnsi="Times New Roman"/>
          <w:i/>
        </w:rPr>
        <w:t xml:space="preserve">kurakakuna” </w:t>
      </w:r>
      <w:r>
        <w:rPr>
          <w:rFonts w:cs="Times New Roman" w:ascii="Times New Roman" w:hAnsi="Times New Roman"/>
        </w:rPr>
        <w:t xml:space="preserve">and “also justified all native subservience to Spanish authority” (p. 223). How does the </w:t>
      </w:r>
      <w:r>
        <w:rPr>
          <w:rFonts w:cs="Times New Roman" w:ascii="Times New Roman" w:hAnsi="Times New Roman"/>
          <w:b/>
        </w:rPr>
        <w:t>evidence</w:t>
      </w:r>
      <w:r>
        <w:rPr>
          <w:rFonts w:cs="Times New Roman" w:ascii="Times New Roman" w:hAnsi="Times New Roman"/>
        </w:rPr>
        <w:t xml:space="preserve"> from colonial processions support Cummins’ </w:t>
      </w:r>
      <w:r>
        <w:rPr>
          <w:rFonts w:cs="Times New Roman" w:ascii="Times New Roman" w:hAnsi="Times New Roman"/>
          <w:b/>
        </w:rPr>
        <w:t>historical interpretation</w:t>
      </w:r>
      <w:r>
        <w:rPr>
          <w:rFonts w:cs="Times New Roman" w:ascii="Times New Roman" w:hAnsi="Times New Roman"/>
        </w:rPr>
        <w:t>?</w:t>
      </w:r>
    </w:p>
    <w:p>
      <w:pPr>
        <w:pStyle w:val="ListParagraph"/>
        <w:numPr>
          <w:ilvl w:val="0"/>
          <w:numId w:val="1"/>
        </w:numPr>
        <w:rPr>
          <w:rFonts w:ascii="Times New Roman" w:hAnsi="Times New Roman" w:cs="Times New Roman"/>
        </w:rPr>
      </w:pPr>
      <w:r>
        <w:rPr>
          <w:rFonts w:cs="Times New Roman" w:ascii="Times New Roman" w:hAnsi="Times New Roman"/>
        </w:rPr>
        <w:t>How did colonial representation of the Inca mean “no place for an independent Andean identity or will” (p. 224) according to Cummins? How then was “Indianness” or the “other” in these portraits really Spanish (p. 224)?</w:t>
      </w:r>
    </w:p>
    <w:p>
      <w:pPr>
        <w:pStyle w:val="Normal"/>
        <w:rPr>
          <w:rFonts w:ascii="Times New Roman" w:hAnsi="Times New Roman" w:cs="Times New Roman"/>
        </w:rPr>
      </w:pPr>
      <w:r>
        <w:rPr>
          <w:rFonts w:cs="Times New Roman" w:ascii="Times New Roman" w:hAnsi="Times New Roman"/>
        </w:rPr>
      </w:r>
    </w:p>
    <w:p>
      <w:pPr>
        <w:pStyle w:val="Normal"/>
        <w:ind w:left="720" w:hanging="0"/>
        <w:rPr>
          <w:rFonts w:ascii="Times New Roman" w:hAnsi="Times New Roman" w:eastAsia="Times New Roman" w:cs="Times New Roman"/>
          <w:color w:val="333333"/>
          <w:highlight w:val="white"/>
          <w:u w:val="single"/>
        </w:rPr>
      </w:pPr>
      <w:r>
        <w:rPr>
          <w:rFonts w:eastAsia="Times New Roman" w:cs="Times New Roman" w:ascii="Times New Roman" w:hAnsi="Times New Roman"/>
          <w:color w:val="333333"/>
          <w:u w:val="single"/>
          <w:shd w:fill="FFFFFF" w:val="clear"/>
        </w:rPr>
        <w:t>A note</w:t>
      </w:r>
      <w:r>
        <w:rPr>
          <w:rFonts w:eastAsia="Times New Roman" w:cs="Times New Roman" w:ascii="Times New Roman" w:hAnsi="Times New Roman"/>
          <w:color w:val="333333"/>
          <w:shd w:fill="FFFFFF" w:val="clear"/>
        </w:rPr>
        <w:t>:</w:t>
      </w:r>
      <w:r>
        <w:rPr>
          <w:rFonts w:cs="Times New Roman" w:ascii="Times New Roman" w:hAnsi="Times New Roman"/>
          <w:i/>
        </w:rPr>
        <w:t xml:space="preserve"> Kurakakuna</w:t>
      </w:r>
      <w:r>
        <w:rPr>
          <w:rFonts w:cs="Times New Roman" w:ascii="Times New Roman" w:hAnsi="Times New Roman"/>
        </w:rPr>
        <w:t xml:space="preserve"> is the plural of </w:t>
      </w:r>
      <w:r>
        <w:rPr>
          <w:rFonts w:cs="Times New Roman" w:ascii="Times New Roman" w:hAnsi="Times New Roman"/>
          <w:i/>
        </w:rPr>
        <w:t>kuraka</w:t>
      </w:r>
      <w:r>
        <w:rPr>
          <w:rFonts w:cs="Times New Roman" w:ascii="Times New Roman" w:hAnsi="Times New Roman"/>
        </w:rPr>
        <w:t xml:space="preserve">, which means local indigenous leader in the Andes. People in the past employed, and scholars in the present employ </w:t>
      </w:r>
      <w:r>
        <w:rPr>
          <w:rFonts w:cs="Times New Roman" w:ascii="Times New Roman" w:hAnsi="Times New Roman"/>
          <w:i/>
        </w:rPr>
        <w:t xml:space="preserve">cacique </w:t>
      </w:r>
      <w:r>
        <w:rPr>
          <w:rFonts w:cs="Times New Roman" w:ascii="Times New Roman" w:hAnsi="Times New Roman"/>
        </w:rPr>
        <w:t xml:space="preserve">and </w:t>
      </w:r>
      <w:r>
        <w:rPr>
          <w:rFonts w:cs="Times New Roman" w:ascii="Times New Roman" w:hAnsi="Times New Roman"/>
          <w:i/>
        </w:rPr>
        <w:t>curaca</w:t>
      </w:r>
      <w:r>
        <w:rPr>
          <w:rFonts w:cs="Times New Roman" w:ascii="Times New Roman" w:hAnsi="Times New Roman"/>
        </w:rPr>
        <w:t xml:space="preserve"> to mean local Andean indigenous leaders.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pPr>
      <w:r>
        <w:rPr>
          <w:rFonts w:eastAsia="Times New Roman" w:cs="Times New Roman" w:ascii="Times New Roman" w:hAnsi="Times New Roman"/>
          <w:i/>
        </w:rPr>
        <w:t>Study Questions – “</w:t>
      </w:r>
      <w:hyperlink r:id="rId2">
        <w:r>
          <w:rPr>
            <w:rStyle w:val="InternetLink"/>
            <w:rFonts w:eastAsia="Times New Roman" w:cs="Times New Roman" w:ascii="Times New Roman" w:hAnsi="Times New Roman"/>
            <w:color w:val="333333"/>
            <w:highlight w:val="white"/>
          </w:rPr>
          <w:t>Don Marcos Chiquathopa</w:t>
        </w:r>
      </w:hyperlink>
      <w:r>
        <w:rPr>
          <w:rFonts w:eastAsia="Times New Roman" w:cs="Times New Roman" w:ascii="Times New Roman" w:hAnsi="Times New Roman"/>
        </w:rPr>
        <w:t>”</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ListParagraph"/>
        <w:numPr>
          <w:ilvl w:val="0"/>
          <w:numId w:val="2"/>
        </w:numPr>
        <w:rPr>
          <w:rFonts w:ascii="Times New Roman" w:hAnsi="Times New Roman" w:eastAsia="Times New Roman" w:cs="Times New Roman"/>
        </w:rPr>
      </w:pPr>
      <w:r>
        <w:rPr>
          <w:rFonts w:cs="Times New Roman" w:ascii="Times New Roman" w:hAnsi="Times New Roman"/>
        </w:rPr>
        <w:t>Examine the portrait of don</w:t>
      </w:r>
      <w:r>
        <w:rPr>
          <w:rFonts w:eastAsia="Times New Roman" w:cs="Times New Roman" w:ascii="Times New Roman" w:hAnsi="Times New Roman"/>
        </w:rPr>
        <w:t xml:space="preserve"> Don Marcos Chiguan/don Marcos Chiquathopa. Do you find evidence in this </w:t>
      </w:r>
      <w:r>
        <w:rPr>
          <w:rFonts w:eastAsia="Times New Roman" w:cs="Times New Roman" w:ascii="Times New Roman" w:hAnsi="Times New Roman"/>
          <w:b/>
        </w:rPr>
        <w:t xml:space="preserve">primary source </w:t>
      </w:r>
      <w:r>
        <w:rPr>
          <w:rFonts w:eastAsia="Times New Roman" w:cs="Times New Roman" w:ascii="Times New Roman" w:hAnsi="Times New Roman"/>
        </w:rPr>
        <w:t xml:space="preserve">to support the </w:t>
      </w:r>
      <w:r>
        <w:rPr>
          <w:rFonts w:eastAsia="Times New Roman" w:cs="Times New Roman" w:ascii="Times New Roman" w:hAnsi="Times New Roman"/>
          <w:b/>
        </w:rPr>
        <w:t xml:space="preserve">historical interpretation </w:t>
      </w:r>
      <w:r>
        <w:rPr>
          <w:rFonts w:eastAsia="Times New Roman" w:cs="Times New Roman" w:ascii="Times New Roman" w:hAnsi="Times New Roman"/>
        </w:rPr>
        <w:t xml:space="preserve">of the </w:t>
      </w:r>
      <w:r>
        <w:rPr>
          <w:rFonts w:eastAsia="Times New Roman" w:cs="Times New Roman" w:ascii="Times New Roman" w:hAnsi="Times New Roman"/>
          <w:b/>
        </w:rPr>
        <w:t>secondary source</w:t>
      </w:r>
      <w:r>
        <w:rPr>
          <w:rFonts w:eastAsia="Times New Roman" w:cs="Times New Roman" w:ascii="Times New Roman" w:hAnsi="Times New Roman"/>
        </w:rPr>
        <w:t>, Tom Cummins? Is this a representation of a “transformed and coopted elite” (Cummins 211)?</w:t>
      </w:r>
    </w:p>
    <w:p>
      <w:pPr>
        <w:pStyle w:val="ListParagraph"/>
        <w:numPr>
          <w:ilvl w:val="0"/>
          <w:numId w:val="2"/>
        </w:numPr>
        <w:pBdr/>
        <w:rPr/>
      </w:pPr>
      <w:r>
        <w:rPr>
          <w:rFonts w:cs="Times New Roman" w:ascii="Times New Roman" w:hAnsi="Times New Roman"/>
        </w:rPr>
        <w:t xml:space="preserve">What evidence can you extract from the portrait to counter Cummins’ argument? How did don Marcos Chiguan/don Marcos Chiquathopa employ Inca signs and Spanish forms to articulate his interpretation of his status as a colonial </w:t>
      </w:r>
      <w:r>
        <w:rPr>
          <w:rFonts w:cs="Times New Roman" w:ascii="Times New Roman" w:hAnsi="Times New Roman"/>
          <w:i/>
        </w:rPr>
        <w:t>kurakakuna</w:t>
      </w:r>
      <w:r>
        <w:rPr>
          <w:rFonts w:cs="Times New Roman" w:ascii="Times New Roman" w:hAnsi="Times New Roman"/>
        </w:rPr>
        <w:t xml:space="preserve">? </w:t>
      </w:r>
    </w:p>
    <w:sectPr>
      <w:footerReference w:type="default" r:id="rId3"/>
      <w:type w:val="nextPage"/>
      <w:pgSz w:w="12240" w:h="15840"/>
      <w:pgMar w:left="1800" w:right="1800"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85090" cy="178435"/>
              <wp:effectExtent l="0" t="0" r="0" b="0"/>
              <wp:wrapSquare wrapText="largest"/>
              <wp:docPr id="1" name="Frame1"/>
              <a:graphic xmlns:a="http://schemas.openxmlformats.org/drawingml/2006/main">
                <a:graphicData uri="http://schemas.microsoft.com/office/word/2010/wordprocessingShape">
                  <wps:wsp>
                    <wps:cNvSpPr txBox="1"/>
                    <wps:spPr>
                      <a:xfrm>
                        <a:off x="0" y="0"/>
                        <a:ext cx="85090" cy="178435"/>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2</w:t>
                          </w:r>
                          <w:r>
                            <w:fldChar w:fldCharType="end"/>
                          </w:r>
                        </w:p>
                      </w:txbxContent>
                    </wps:txbx>
                    <wps:bodyPr anchor="t" lIns="0" tIns="0" rIns="0" bIns="0">
                      <a:spAutoFit/>
                    </wps:bodyPr>
                  </wps:wsp>
                </a:graphicData>
              </a:graphic>
            </wp:anchor>
          </w:drawing>
        </mc:Choice>
        <mc:Fallback>
          <w:pict>
            <v:rect fillcolor="#FFFFFF" style="position:absolute;rotation:0;width:6.7pt;height:14.05pt;mso-wrap-distance-left:0pt;mso-wrap-distance-right:0pt;mso-wrap-distance-top:0pt;mso-wrap-distance-bottom:0pt;margin-top:0.05pt;mso-position-vertical-relative:text;margin-left:425.3pt;mso-position-horizontal:right;mso-position-horizontal-relative:margin">
              <v:fill opacity="0f"/>
              <v:textbox inset="0in,0in,0in,0in">
                <w:txbxContent>
                  <w:p>
                    <w:pPr>
                      <w:pStyle w:val="Footer"/>
                      <w:pBd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rFonts w:ascii="Times New Roman" w:hAnsi="Times New Roman" w:eastAsia="ＭＳ 明朝"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a3bea"/>
    <w:rPr>
      <w:rFonts w:ascii="Lucida Grande" w:hAnsi="Lucida Grande" w:cs="Lucida Grande"/>
      <w:sz w:val="18"/>
      <w:szCs w:val="18"/>
    </w:rPr>
  </w:style>
  <w:style w:type="character" w:styleId="InternetLink">
    <w:name w:val="Internet Link"/>
    <w:basedOn w:val="DefaultParagraphFont"/>
    <w:uiPriority w:val="99"/>
    <w:semiHidden/>
    <w:unhideWhenUsed/>
    <w:rsid w:val="005c151e"/>
    <w:rPr>
      <w:color w:val="0000FF"/>
      <w:u w:val="single"/>
    </w:rPr>
  </w:style>
  <w:style w:type="character" w:styleId="FooterChar" w:customStyle="1">
    <w:name w:val="Footer Char"/>
    <w:basedOn w:val="DefaultParagraphFont"/>
    <w:link w:val="Footer"/>
    <w:uiPriority w:val="99"/>
    <w:qFormat/>
    <w:rsid w:val="003d3c7d"/>
    <w:rPr/>
  </w:style>
  <w:style w:type="character" w:styleId="Pagenumber">
    <w:name w:val="page number"/>
    <w:basedOn w:val="DefaultParagraphFont"/>
    <w:uiPriority w:val="99"/>
    <w:semiHidden/>
    <w:unhideWhenUsed/>
    <w:qFormat/>
    <w:rsid w:val="003d3c7d"/>
    <w:rPr/>
  </w:style>
  <w:style w:type="character" w:styleId="ListLabel1">
    <w:name w:val="ListLabel 1"/>
    <w:qFormat/>
    <w:rPr>
      <w:rFonts w:ascii="Times New Roman" w:hAnsi="Times New Roman" w:eastAsia="ＭＳ 明朝" w:cs=""/>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0d4bfc"/>
    <w:pPr>
      <w:spacing w:before="0" w:after="0"/>
      <w:ind w:left="720" w:hanging="0"/>
      <w:contextualSpacing/>
    </w:pPr>
    <w:rPr/>
  </w:style>
  <w:style w:type="paragraph" w:styleId="BalloonText">
    <w:name w:val="Balloon Text"/>
    <w:basedOn w:val="Normal"/>
    <w:link w:val="BalloonTextChar"/>
    <w:uiPriority w:val="99"/>
    <w:semiHidden/>
    <w:unhideWhenUsed/>
    <w:qFormat/>
    <w:rsid w:val="004a3bea"/>
    <w:pPr/>
    <w:rPr>
      <w:rFonts w:ascii="Lucida Grande" w:hAnsi="Lucida Grande" w:cs="Lucida Grande"/>
      <w:sz w:val="18"/>
      <w:szCs w:val="18"/>
    </w:rPr>
  </w:style>
  <w:style w:type="paragraph" w:styleId="Footer">
    <w:name w:val="Footer"/>
    <w:basedOn w:val="Normal"/>
    <w:link w:val="FooterChar"/>
    <w:uiPriority w:val="99"/>
    <w:unhideWhenUsed/>
    <w:rsid w:val="003d3c7d"/>
    <w:pPr>
      <w:tabs>
        <w:tab w:val="center" w:pos="4320" w:leader="none"/>
        <w:tab w:val="right" w:pos="864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istas-visual-culture.net/themes/pre-columbian-images-06/"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Application>LibreOffice/5.3.7.2$MacOSX_X86_64 LibreOffice_project/6b8ed514a9f8b44d37a1b96673cbbdd077e24059</Application>
  <Pages>2</Pages>
  <Words>586</Words>
  <Characters>3235</Characters>
  <CharactersWithSpaces>3793</CharactersWithSpaces>
  <Paragraphs>20</Paragraphs>
  <Company>UC Irvine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2016-12-20T19:06:00Z</dcterms:created>
  <dc:creator>Rachel O'Toole</dc:creator>
  <dc:description/>
  <dc:language>en-US</dc:language>
  <cp:lastModifiedBy>N </cp:lastModifiedBy>
  <dcterms:modified xsi:type="dcterms:W3CDTF">2019-01-03T16:52:47Z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 Irvine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