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1"/>
        <w:spacing w:lineRule="auto" w:line="240" w:before="240" w:after="0"/>
        <w:rPr>
          <w:b/>
          <w:b/>
        </w:rPr>
      </w:pPr>
      <w:r>
        <w:rPr>
          <w:b/>
        </w:rPr>
      </w:r>
    </w:p>
    <w:tbl>
      <w:tblPr>
        <w:tblStyle w:val="Table1"/>
        <w:tblW w:w="11520" w:type="dxa"/>
        <w:jc w:val="left"/>
        <w:tblInd w:w="0" w:type="dxa"/>
        <w:tblCellMar>
          <w:top w:w="0" w:type="dxa"/>
          <w:left w:w="108" w:type="dxa"/>
          <w:bottom w:w="0" w:type="dxa"/>
          <w:right w:w="108" w:type="dxa"/>
        </w:tblCellMar>
        <w:tblLook w:val="0000"/>
      </w:tblPr>
      <w:tblGrid>
        <w:gridCol w:w="2304"/>
        <w:gridCol w:w="2304"/>
        <w:gridCol w:w="2304"/>
        <w:gridCol w:w="2304"/>
        <w:gridCol w:w="2304"/>
      </w:tblGrid>
      <w:tr>
        <w:trPr>
          <w:trHeight w:val="330" w:hRule="atLeast"/>
        </w:trPr>
        <w:tc>
          <w:tcPr>
            <w:tcW w:w="11520" w:type="dxa"/>
            <w:gridSpan w:val="5"/>
            <w:tcBorders>
              <w:top w:val="single" w:sz="4" w:space="0" w:color="000000"/>
              <w:left w:val="single" w:sz="4" w:space="0" w:color="000000"/>
              <w:bottom w:val="single" w:sz="4" w:space="0" w:color="000000"/>
              <w:right w:val="single" w:sz="4" w:space="0" w:color="000000"/>
            </w:tcBorders>
          </w:tcPr>
          <w:p>
            <w:pPr>
              <w:pStyle w:val="Normal1"/>
              <w:spacing w:lineRule="auto" w:line="240"/>
              <w:rPr>
                <w:b/>
                <w:b/>
              </w:rPr>
            </w:pPr>
            <w:r>
              <w:rPr>
                <w:b/>
              </w:rPr>
              <w:t>Humanities Core: Worldbuilding</w:t>
            </w:r>
          </w:p>
          <w:p>
            <w:pPr>
              <w:pStyle w:val="Normal1"/>
              <w:spacing w:lineRule="auto" w:line="240"/>
              <w:rPr/>
            </w:pPr>
            <w:r>
              <w:rPr>
                <w:b/>
              </w:rPr>
              <w:t>Assessment Rubric for Fall Digital Archive</w:t>
            </w:r>
          </w:p>
        </w:tc>
      </w:tr>
      <w:tr>
        <w:trPr/>
        <w:tc>
          <w:tcPr>
            <w:tcW w:w="2304" w:type="dxa"/>
            <w:tcBorders>
              <w:left w:val="single" w:sz="4" w:space="0" w:color="000000"/>
              <w:bottom w:val="single" w:sz="4" w:space="0" w:color="000000"/>
            </w:tcBorders>
            <w:shd w:fill="auto" w:val="clear"/>
          </w:tcPr>
          <w:p>
            <w:pPr>
              <w:pStyle w:val="Normal1"/>
              <w:spacing w:lineRule="auto" w:line="240" w:before="0" w:after="0"/>
              <w:jc w:val="left"/>
              <w:rPr>
                <w:rFonts w:ascii="Arial" w:hAnsi="Arial" w:eastAsia="Arial" w:cs="Arial"/>
                <w:b w:val="false"/>
                <w:b w:val="false"/>
                <w:i w:val="false"/>
                <w:i w:val="false"/>
                <w:strike w:val="false"/>
                <w:dstrike w:val="false"/>
                <w:color w:val="000000"/>
                <w:sz w:val="22"/>
                <w:szCs w:val="22"/>
                <w:u w:val="none"/>
              </w:rPr>
            </w:pPr>
            <w:r>
              <w:rPr>
                <w:rFonts w:eastAsia="Arial" w:cs="Arial"/>
                <w:b/>
                <w:i w:val="false"/>
                <w:strike w:val="false"/>
                <w:dstrike w:val="false"/>
                <w:color w:val="000000"/>
                <w:sz w:val="22"/>
                <w:szCs w:val="22"/>
                <w:u w:val="none"/>
              </w:rPr>
              <w:t>Critical Engagement</w:t>
            </w:r>
          </w:p>
        </w:tc>
        <w:tc>
          <w:tcPr>
            <w:tcW w:w="2304" w:type="dxa"/>
            <w:tcBorders>
              <w:left w:val="single" w:sz="4" w:space="0" w:color="000000"/>
              <w:bottom w:val="single" w:sz="4" w:space="0" w:color="000000"/>
            </w:tcBorders>
            <w:shd w:fill="auto" w:val="clear"/>
          </w:tcPr>
          <w:p>
            <w:pPr>
              <w:pStyle w:val="Normal1"/>
              <w:spacing w:lineRule="auto" w:line="240" w:before="0" w:after="0"/>
              <w:jc w:val="left"/>
              <w:rPr>
                <w:rFonts w:ascii="Arial" w:hAnsi="Arial" w:eastAsia="Arial" w:cs="Arial"/>
                <w:b w:val="false"/>
                <w:b w:val="false"/>
                <w:i w:val="false"/>
                <w:i w:val="false"/>
                <w:strike w:val="false"/>
                <w:dstrike w:val="false"/>
                <w:color w:val="000000"/>
                <w:sz w:val="22"/>
                <w:szCs w:val="22"/>
                <w:u w:val="none"/>
              </w:rPr>
            </w:pPr>
            <w:r>
              <w:rPr>
                <w:rFonts w:eastAsia="Arial" w:cs="Arial"/>
                <w:b/>
                <w:i w:val="false"/>
                <w:strike w:val="false"/>
                <w:dstrike w:val="false"/>
                <w:color w:val="000000"/>
                <w:sz w:val="22"/>
                <w:szCs w:val="22"/>
                <w:u w:val="none"/>
              </w:rPr>
              <w:t>Creative Engagement</w:t>
            </w:r>
          </w:p>
        </w:tc>
        <w:tc>
          <w:tcPr>
            <w:tcW w:w="230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rPr/>
            </w:pPr>
            <w:r>
              <w:rPr>
                <w:b/>
              </w:rPr>
              <w:t>Rhetorical Awareness of Purpose, Audience, and Context</w:t>
            </w:r>
          </w:p>
        </w:tc>
        <w:tc>
          <w:tcPr>
            <w:tcW w:w="2304" w:type="dxa"/>
            <w:tcBorders>
              <w:left w:val="single" w:sz="4" w:space="0" w:color="000000"/>
              <w:bottom w:val="single" w:sz="4" w:space="0" w:color="000000"/>
            </w:tcBorders>
            <w:shd w:fill="auto" w:val="clear"/>
          </w:tcPr>
          <w:p>
            <w:pPr>
              <w:pStyle w:val="Normal1"/>
              <w:spacing w:lineRule="auto" w:line="240" w:before="0" w:after="0"/>
              <w:jc w:val="left"/>
              <w:rPr>
                <w:rFonts w:ascii="Arial" w:hAnsi="Arial" w:eastAsia="Arial" w:cs="Arial"/>
                <w:b w:val="false"/>
                <w:b w:val="false"/>
                <w:i w:val="false"/>
                <w:i w:val="false"/>
                <w:strike w:val="false"/>
                <w:dstrike w:val="false"/>
                <w:color w:val="000000"/>
                <w:sz w:val="22"/>
                <w:szCs w:val="22"/>
                <w:u w:val="none"/>
              </w:rPr>
            </w:pPr>
            <w:r>
              <w:rPr>
                <w:rFonts w:eastAsia="Arial" w:cs="Arial"/>
                <w:b/>
                <w:i w:val="false"/>
                <w:strike w:val="false"/>
                <w:dstrike w:val="false"/>
                <w:color w:val="000000"/>
                <w:sz w:val="22"/>
                <w:szCs w:val="22"/>
                <w:u w:val="none"/>
              </w:rPr>
              <w:t>Organization and Citation</w:t>
            </w:r>
          </w:p>
        </w:tc>
        <w:tc>
          <w:tcPr>
            <w:tcW w:w="2304" w:type="dxa"/>
            <w:tcBorders>
              <w:left w:val="single" w:sz="4" w:space="0" w:color="000000"/>
              <w:bottom w:val="single" w:sz="4" w:space="0" w:color="000000"/>
              <w:right w:val="single" w:sz="4" w:space="0" w:color="000000"/>
            </w:tcBorders>
            <w:shd w:fill="auto" w:val="clear"/>
          </w:tcPr>
          <w:p>
            <w:pPr>
              <w:pStyle w:val="Normal1"/>
              <w:spacing w:lineRule="auto" w:line="240" w:before="0" w:after="0"/>
              <w:jc w:val="left"/>
              <w:rPr>
                <w:rFonts w:ascii="Arial" w:hAnsi="Arial" w:eastAsia="Arial" w:cs="Arial"/>
                <w:b w:val="false"/>
                <w:b w:val="false"/>
                <w:i w:val="false"/>
                <w:i w:val="false"/>
                <w:strike w:val="false"/>
                <w:dstrike w:val="false"/>
                <w:color w:val="000000"/>
                <w:sz w:val="22"/>
                <w:szCs w:val="22"/>
                <w:u w:val="none"/>
              </w:rPr>
            </w:pPr>
            <w:r>
              <w:rPr>
                <w:rFonts w:eastAsia="Arial" w:cs="Arial"/>
                <w:b/>
                <w:i w:val="false"/>
                <w:strike w:val="false"/>
                <w:dstrike w:val="false"/>
                <w:color w:val="000000"/>
                <w:sz w:val="22"/>
                <w:szCs w:val="22"/>
                <w:u w:val="none"/>
              </w:rPr>
              <w:t>Reflection</w:t>
            </w:r>
          </w:p>
        </w:tc>
      </w:tr>
      <w:tr>
        <w:trPr/>
        <w:tc>
          <w:tcPr>
            <w:tcW w:w="2304" w:type="dxa"/>
            <w:tcBorders>
              <w:left w:val="single" w:sz="4" w:space="0" w:color="000000"/>
              <w:bottom w:val="single" w:sz="4" w:space="0" w:color="000000"/>
            </w:tcBorders>
            <w:shd w:fill="auto" w:val="clear"/>
          </w:tcPr>
          <w:p>
            <w:pPr>
              <w:pStyle w:val="Normal1"/>
              <w:spacing w:lineRule="auto" w:line="240" w:before="240" w:after="0"/>
              <w:jc w:val="left"/>
              <w:rPr>
                <w:i/>
                <w:i/>
              </w:rPr>
            </w:pPr>
            <w:r>
              <w:rPr>
                <w:rFonts w:eastAsia="Arial" w:cs="Arial"/>
                <w:b w:val="false"/>
                <w:i w:val="false"/>
                <w:strike w:val="false"/>
                <w:dstrike w:val="false"/>
                <w:color w:val="000000"/>
                <w:sz w:val="22"/>
                <w:szCs w:val="22"/>
                <w:u w:val="none"/>
              </w:rPr>
              <w:t xml:space="preserve">Shows discernment in noticing and selecting </w:t>
            </w:r>
            <w:r>
              <w:rPr/>
              <w:t>quotations</w:t>
            </w:r>
            <w:r>
              <w:rPr>
                <w:rFonts w:eastAsia="Arial" w:cs="Arial"/>
                <w:b w:val="false"/>
                <w:i w:val="false"/>
                <w:strike w:val="false"/>
                <w:dstrike w:val="false"/>
                <w:color w:val="000000"/>
                <w:sz w:val="22"/>
                <w:szCs w:val="22"/>
                <w:u w:val="none"/>
              </w:rPr>
              <w:t>, images, videos, information, or concepts from the course material or from related learning experiences that spark personal intellectual interest</w:t>
            </w:r>
            <w:r>
              <w:rPr/>
              <w:t>, and</w:t>
            </w:r>
            <w:r>
              <w:rPr>
                <w:rFonts w:eastAsia="Arial" w:cs="Arial"/>
                <w:b w:val="false"/>
                <w:i w:val="false"/>
                <w:strike w:val="false"/>
                <w:dstrike w:val="false"/>
                <w:color w:val="000000"/>
                <w:sz w:val="22"/>
                <w:szCs w:val="22"/>
                <w:u w:val="none"/>
              </w:rPr>
              <w:t xml:space="preserve"> </w:t>
            </w:r>
            <w:r>
              <w:rPr/>
              <w:t>u</w:t>
            </w:r>
            <w:r>
              <w:rPr>
                <w:rFonts w:eastAsia="Arial" w:cs="Arial"/>
                <w:b w:val="false"/>
                <w:i w:val="false"/>
                <w:strike w:val="false"/>
                <w:dstrike w:val="false"/>
                <w:color w:val="000000"/>
                <w:sz w:val="22"/>
                <w:szCs w:val="22"/>
                <w:u w:val="none"/>
              </w:rPr>
              <w:t xml:space="preserve">ses the online context to </w:t>
            </w:r>
            <w:r>
              <w:rPr/>
              <w:t>identify and apply concepts and methods learned from the lectures. Makes</w:t>
            </w:r>
            <w:r>
              <w:rPr>
                <w:rFonts w:eastAsia="Arial" w:cs="Arial"/>
                <w:b w:val="false"/>
                <w:i w:val="false"/>
                <w:strike w:val="false"/>
                <w:dstrike w:val="false"/>
                <w:color w:val="000000"/>
                <w:sz w:val="22"/>
                <w:szCs w:val="22"/>
                <w:u w:val="none"/>
              </w:rPr>
              <w:t xml:space="preserve"> thought-provoking, exploratory interpretations of primary source materials. Does not merely summarize the content of lectures or readings.</w:t>
            </w:r>
          </w:p>
        </w:tc>
        <w:tc>
          <w:tcPr>
            <w:tcW w:w="2304" w:type="dxa"/>
            <w:tcBorders>
              <w:left w:val="single" w:sz="4" w:space="0" w:color="000000"/>
              <w:bottom w:val="single" w:sz="4" w:space="0" w:color="000000"/>
            </w:tcBorders>
            <w:shd w:fill="auto" w:val="clear"/>
          </w:tcPr>
          <w:p>
            <w:pPr>
              <w:pStyle w:val="Normal1"/>
              <w:spacing w:lineRule="auto" w:line="240" w:before="240" w:after="0"/>
              <w:jc w:val="left"/>
              <w:rPr>
                <w:rFonts w:ascii="Arial" w:hAnsi="Arial" w:eastAsia="Arial" w:cs="Arial"/>
                <w:b w:val="false"/>
                <w:b w:val="false"/>
                <w:i w:val="false"/>
                <w:i w:val="false"/>
                <w:strike w:val="false"/>
                <w:dstrike w:val="false"/>
                <w:color w:val="000000"/>
                <w:sz w:val="22"/>
                <w:szCs w:val="22"/>
                <w:u w:val="none"/>
              </w:rPr>
            </w:pPr>
            <w:r>
              <w:rPr/>
              <w:t>Shows creativity in using</w:t>
            </w:r>
            <w:r>
              <w:rPr>
                <w:rFonts w:eastAsia="Arial" w:cs="Arial"/>
                <w:b w:val="false"/>
                <w:i w:val="false"/>
                <w:strike w:val="false"/>
                <w:dstrike w:val="false"/>
                <w:color w:val="000000"/>
                <w:sz w:val="22"/>
                <w:szCs w:val="22"/>
                <w:u w:val="none"/>
              </w:rPr>
              <w:t xml:space="preserve"> the space of the online environment to speculate, to reinterpret, to assemble collections, and to generate new ideas, expressed originally. </w:t>
            </w:r>
            <w:r>
              <w:rPr/>
              <w:t xml:space="preserve">Builds on and extends the ideas presented in lecture to draw connections to other </w:t>
            </w:r>
            <w:r>
              <w:rPr>
                <w:rFonts w:eastAsia="Arial" w:cs="Arial"/>
                <w:b w:val="false"/>
                <w:i w:val="false"/>
                <w:strike w:val="false"/>
                <w:dstrike w:val="false"/>
                <w:color w:val="000000"/>
                <w:sz w:val="22"/>
                <w:szCs w:val="22"/>
                <w:u w:val="none"/>
              </w:rPr>
              <w:t xml:space="preserve">cultural </w:t>
            </w:r>
            <w:r>
              <w:rPr/>
              <w:t>works or</w:t>
            </w:r>
            <w:r>
              <w:rPr>
                <w:rFonts w:eastAsia="Arial" w:cs="Arial"/>
                <w:b w:val="false"/>
                <w:i w:val="false"/>
                <w:strike w:val="false"/>
                <w:dstrike w:val="false"/>
                <w:color w:val="000000"/>
                <w:sz w:val="22"/>
                <w:szCs w:val="22"/>
                <w:u w:val="none"/>
              </w:rPr>
              <w:t xml:space="preserve"> social/historical contexts.</w:t>
            </w:r>
          </w:p>
        </w:tc>
        <w:tc>
          <w:tcPr>
            <w:tcW w:w="2304"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240" w:after="0"/>
              <w:rPr/>
            </w:pPr>
            <w:r>
              <w:rPr/>
              <w:t>Demonstrates awareness of purpose, audience, and context in choices of multimodality in communication and in writing style (using precise, grammatical language, but in a somewhat more personal and informal voice than essay writing). Clearly aims not only to communicate one’s own ideas and interests but also to get HumCore peers thinking about the possibilities of worldbuilding.</w:t>
            </w:r>
          </w:p>
        </w:tc>
        <w:tc>
          <w:tcPr>
            <w:tcW w:w="2304" w:type="dxa"/>
            <w:tcBorders>
              <w:left w:val="single" w:sz="4" w:space="0" w:color="000000"/>
              <w:bottom w:val="single" w:sz="4" w:space="0" w:color="000000"/>
              <w:right w:val="single" w:sz="4" w:space="0" w:color="000000"/>
            </w:tcBorders>
            <w:shd w:fill="auto" w:val="clear"/>
          </w:tcPr>
          <w:p>
            <w:pPr>
              <w:pStyle w:val="Normal1"/>
              <w:spacing w:lineRule="auto" w:line="240" w:before="240" w:after="0"/>
              <w:jc w:val="left"/>
              <w:rPr>
                <w:rFonts w:ascii="Arial" w:hAnsi="Arial" w:eastAsia="Arial" w:cs="Arial"/>
                <w:b w:val="false"/>
                <w:b w:val="false"/>
                <w:i w:val="false"/>
                <w:i w:val="false"/>
                <w:strike w:val="false"/>
                <w:dstrike w:val="false"/>
                <w:color w:val="000000"/>
                <w:sz w:val="22"/>
                <w:szCs w:val="22"/>
                <w:u w:val="none"/>
              </w:rPr>
            </w:pPr>
            <w:r>
              <w:rPr>
                <w:rFonts w:eastAsia="Arial" w:cs="Arial"/>
                <w:b w:val="false"/>
                <w:i w:val="false"/>
                <w:strike w:val="false"/>
                <w:dstrike w:val="false"/>
                <w:color w:val="000000"/>
                <w:sz w:val="22"/>
                <w:szCs w:val="22"/>
                <w:u w:val="none"/>
              </w:rPr>
              <w:t>Presents clear, strategic, and meaningful organization, including in use of visual layout, site navigation, page names. Demonstrates information literacy skills by having located, integrated, and appropriately cited primary sources from course materials or institutional digital archives and databases. Avoids use of unreliable, non-scholarly online sources of information.</w:t>
            </w:r>
          </w:p>
        </w:tc>
        <w:tc>
          <w:tcPr>
            <w:tcW w:w="2304" w:type="dxa"/>
            <w:tcBorders>
              <w:top w:val="single" w:sz="4" w:space="0" w:color="000000"/>
              <w:left w:val="single" w:sz="4" w:space="0" w:color="000000"/>
              <w:bottom w:val="single" w:sz="4" w:space="0" w:color="000000"/>
              <w:right w:val="single" w:sz="4" w:space="0" w:color="000000"/>
            </w:tcBorders>
          </w:tcPr>
          <w:p>
            <w:pPr>
              <w:pStyle w:val="Normal1"/>
              <w:spacing w:lineRule="auto" w:line="240" w:before="240" w:after="0"/>
              <w:jc w:val="left"/>
              <w:rPr>
                <w:rFonts w:ascii="Arial" w:hAnsi="Arial" w:eastAsia="Arial" w:cs="Arial"/>
                <w:b w:val="false"/>
                <w:b w:val="false"/>
                <w:i w:val="false"/>
                <w:i w:val="false"/>
                <w:strike w:val="false"/>
                <w:dstrike w:val="false"/>
                <w:color w:val="000000"/>
                <w:sz w:val="22"/>
                <w:szCs w:val="22"/>
                <w:u w:val="none"/>
              </w:rPr>
            </w:pPr>
            <w:r>
              <w:rPr>
                <w:rFonts w:eastAsia="Arial" w:cs="Arial"/>
                <w:b w:val="false"/>
                <w:i w:val="false"/>
                <w:strike w:val="false"/>
                <w:dstrike w:val="false"/>
                <w:color w:val="000000"/>
                <w:sz w:val="22"/>
                <w:szCs w:val="22"/>
                <w:u w:val="none"/>
              </w:rPr>
              <w:t>Reflects thoughtfully and critically on the experience of writing, research, and multimodal communication in this rhetorical situation. Shows increasing awareness of the possibilities of the available digital tools and online platform</w:t>
            </w:r>
            <w:r>
              <w:rPr/>
              <w:t xml:space="preserve"> for building and sharing an archive.</w:t>
            </w:r>
          </w:p>
        </w:tc>
      </w:tr>
    </w:tbl>
    <w:p>
      <w:pPr>
        <w:pStyle w:val="Normal1"/>
        <w:spacing w:lineRule="auto" w:line="240" w:before="240" w:after="0"/>
        <w:rPr/>
      </w:pPr>
      <w:r>
        <w:rPr/>
      </w:r>
    </w:p>
    <w:sectPr>
      <w:type w:val="nextPage"/>
      <w:pgSz w:orient="landscape" w:w="15840" w:h="12240"/>
      <w:pgMar w:left="1008" w:right="1008" w:header="0" w:top="1008" w:footer="0" w:bottom="1008"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roman"/>
    <w:pitch w:val="default"/>
  </w:font>
  <w:font w:name="Liberation Sans">
    <w:altName w:val="Arial"/>
    <w:charset w:val="00"/>
    <w:family w:val="swiss"/>
    <w:pitch w:val="variable"/>
  </w:font>
  <w:font w:name="Arial">
    <w:charset w:val="01"/>
    <w:family w:val="swiss"/>
    <w:pitch w:val="default"/>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Lucida Sans"/>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LibreOffice/6.4.7.2$Windows_X86_64 LibreOffice_project/639b8ac485750d5696d7590a72ef1b496725cfb5</Application>
  <Pages>1</Pages>
  <Words>267</Words>
  <Characters>1705</Characters>
  <CharactersWithSpaces>1960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2023-09-19T15:33:35Z</dcterms:modified>
  <cp:revision>1</cp:revision>
  <dc:subject/>
  <dc:title/>
</cp:coreProperties>
</file>